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133"/>
        <w:gridCol w:w="369"/>
        <w:gridCol w:w="3907"/>
        <w:gridCol w:w="3569"/>
        <w:gridCol w:w="2226"/>
        <w:gridCol w:w="337"/>
        <w:gridCol w:w="73"/>
        <w:gridCol w:w="107"/>
        <w:gridCol w:w="11"/>
      </w:tblGrid>
      <w:tr>
        <w:trPr>
          <w:trHeight w:val="18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95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10"/>
            </w:tblGrid>
            <w:tr>
              <w:trPr>
                <w:trHeight w:val="417" w:hRule="exact"/>
              </w:trPr>
              <w:tc>
                <w:tcPr>
                  <w:tcW w:w="44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Prescribed by the Department of Local Government Finance           Approved by the State Board of Accounts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5"/>
            </w:tblGrid>
            <w:tr>
              <w:trPr>
                <w:trHeight w:val="498" w:hRule="exact"/>
              </w:trPr>
              <w:tc>
                <w:tcPr>
                  <w:tcW w:w="274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       Budget Form No. 3 (Rev. 2019)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 Print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8/21/2024 1:54:25 PM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24"/>
            </w:tblGrid>
            <w:tr>
              <w:trPr>
                <w:trHeight w:val="268" w:hRule="exact"/>
              </w:trPr>
              <w:tc>
                <w:tcPr>
                  <w:tcW w:w="1072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NOTICE TO TAXPAYERS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5"/>
              <w:gridCol w:w="9210"/>
              <w:gridCol w:w="914"/>
            </w:tblGrid>
            <w:tr>
              <w:trPr/>
              <w:tc>
                <w:tcPr>
                  <w:tcW w:w="28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"/>
                    <w:gridCol w:w="8759"/>
                    <w:gridCol w:w="225"/>
                  </w:tblGrid>
                  <w:tr>
                    <w:trPr>
                      <w:trHeight w:val="45" w:hRule="atLeast"/>
                    </w:trPr>
                    <w:tc>
                      <w:tcPr>
                        <w:tcW w:w="225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25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759"/>
                        </w:tblGrid>
                        <w:tr>
                          <w:trPr>
                            <w:trHeight w:val="192" w:hRule="atLeast"/>
                          </w:trPr>
                          <w:tc>
                            <w:tcPr>
                              <w:tcW w:w="87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Notice to Taxpayers is available online at </w:t>
                              </w: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"http://budgetnotices.in.gov/"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" w:hAnsi="Arial" w:eastAsia="Arial"/>
                                  <w:b/>
                                  <w:color w:val="0000FF"/>
                                  <w:sz w:val="18"/>
                                  <w:u w:val="single"/>
                                </w:rPr>
                                <w:t xml:space="preserve">www.budgetnotices.in.gov</w:t>
                              </w:r>
                              <w:r>
                                <w:fldChar w:fldCharType="end" w:fldLock="0" w:dirty="0"/>
                              </w: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 or by calling (888) 739-9826.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225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759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5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80" w:hRule="atLeast"/>
              </w:trPr>
              <w:tc>
                <w:tcPr>
                  <w:tcW w:w="28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10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550" w:hRule="atLeast"/>
              </w:trPr>
              <w:tc>
                <w:tcPr>
                  <w:tcW w:w="285" w:type="dxa"/>
                  <w:h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10"/>
                  </w:tblGrid>
                  <w:tr>
                    <w:trPr>
                      <w:trHeight w:val="2472" w:hRule="atLeast"/>
                    </w:trPr>
                    <w:tc>
                      <w:tcPr>
                        <w:tcW w:w="10410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Complete details of budget estimates by fund and/or department may be seen by visiting the office of this unit of government at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80 West Main Street Austin IN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.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 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Notice is hereby given to taxpayers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CITY OF AUSTIN, Scott County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, Indiana that the proper officers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CITY OF AUSTIN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will conduct a public hearing on the year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2025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budget. Following this meeting, any ten or more taxpayers may object to a budget, tax rate, or tax levy by filing an objection petition with the proper officers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CITY OF AUSTIN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not more than seven days after the hearing. The objection petition must identify the provisions of the budget, tax rate, or tax levy to which taxpayers object. If a petition is filed,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CITY OF AUSTIN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shall adopt with the budget a finding concerning the objections in the petition and testimony presented. Following the aforementioned hearing, the proper officers of </w:t>
                        </w: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8"/>
                          </w:rPr>
                          <w:t xml:space="preserve">CITY OF AUSTIN</w:t>
                        </w:r>
                        <w:r>
                          <w:rPr>
                            <w:rFonts w:ascii="Arial" w:hAnsi="Arial" w:eastAsia="Arial"/>
                            <w:color w:val="000000"/>
                            <w:sz w:val="18"/>
                          </w:rPr>
                          <w:t xml:space="preserve"> will meet to adopt the following budget: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10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4" w:type="dxa"/>
                  <w:h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0"/>
              <w:gridCol w:w="2370"/>
              <w:gridCol w:w="195"/>
              <w:gridCol w:w="2385"/>
              <w:gridCol w:w="2382"/>
            </w:tblGrid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Public Hearing Date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Tuesday, September 10, 2024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Adoption Meeting Date</w:t>
                  </w:r>
                </w:p>
              </w:tc>
              <w:tc>
                <w:tcPr>
                  <w:tcW w:w="238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Tuesday, October 15, 2024</w:t>
                  </w:r>
                </w:p>
              </w:tc>
            </w:tr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Public Hearing Time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5:00 PM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Adoption Meeting Time</w:t>
                  </w:r>
                </w:p>
              </w:tc>
              <w:tc>
                <w:tcPr>
                  <w:tcW w:w="238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5:00 PM</w:t>
                  </w:r>
                </w:p>
              </w:tc>
            </w:tr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Public Hearing Location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 West Main Street Austin IN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Adoption Meeting Location</w:t>
                  </w:r>
                </w:p>
              </w:tc>
              <w:tc>
                <w:tcPr>
                  <w:tcW w:w="238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99" w:type="dxa"/>
                    <w:bottom w:w="39" w:type="dxa"/>
                    <w:right w:w="9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 West Main Street Austin IN</w:t>
                  </w:r>
                </w:p>
              </w:tc>
            </w:tr>
            <w:tr>
              <w:trPr/>
              <w:tc>
                <w:tcPr>
                  <w:tcW w:w="23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70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8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 Estimated Civil Max Levy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$827,394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Property Tax Cap Credit Estimate</w:t>
                  </w:r>
                </w:p>
              </w:tc>
              <w:tc>
                <w:tcPr>
                  <w:tcW w:w="2370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$170,000</w:t>
                  </w:r>
                </w:p>
              </w:tc>
              <w:tc>
                <w:tcPr>
                  <w:tcW w:w="1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2" w:type="dxa"/>
                  <w:tcBorders>
                    <w:top w:val="nil" w:color="808080" w:sz="7"/>
                    <w:left w:val="nil" w:color="808080" w:sz="7"/>
                    <w:bottom w:val="nil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4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76"/>
              <w:gridCol w:w="1800"/>
              <w:gridCol w:w="2195"/>
              <w:gridCol w:w="1485"/>
              <w:gridCol w:w="1424"/>
              <w:gridCol w:w="1100"/>
            </w:tblGrid>
            <w:tr>
              <w:trPr>
                <w:trHeight w:val="1525" w:hRule="atLeast"/>
              </w:trPr>
              <w:tc>
                <w:tcPr>
                  <w:tcW w:w="2476" w:type="dxa"/>
                  <w:tcBorders>
                    <w:top w:val="single" w:color="000000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Fund Name</w:t>
                  </w:r>
                </w:p>
              </w:tc>
              <w:tc>
                <w:tcPr>
                  <w:tcW w:w="1800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Budget Estimate</w:t>
                  </w:r>
                </w:p>
              </w:tc>
              <w:tc>
                <w:tcPr>
                  <w:tcW w:w="2195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Maximum Estimated Funds to be Raised (including appeals and levies exempt from maximum levy limitations)</w:t>
                  </w:r>
                </w:p>
              </w:tc>
              <w:tc>
                <w:tcPr>
                  <w:tcW w:w="1485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Excessive Levy Appeals</w:t>
                  </w:r>
                </w:p>
              </w:tc>
              <w:tc>
                <w:tcPr>
                  <w:tcW w:w="1424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Current Tax Levy</w:t>
                  </w:r>
                </w:p>
              </w:tc>
              <w:tc>
                <w:tcPr>
                  <w:tcW w:w="1100" w:type="dxa"/>
                  <w:tcBorders>
                    <w:top w:val="single" w:color="000000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Levy Percentage Difference (Column 3 / Column 5)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0101-GENERAL   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$1,347,008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$714,289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$619,521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15.30%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0342-POLICE PENSION                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$125,056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0706-LOCAL ROAD &amp; STREET           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$41,000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0708-MOTOR VEHICLE HIGHWAY         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$203,996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1301-PARK &amp; RECREATION             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$36,000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2379-CUMULATIVE CAPITAL IMP (CIG TAX)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2391-CUMULATIVE CAPITAL DEVELOPMENT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$30,205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$30,205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0.00%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6401-SANITATION                              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$485,901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$82,900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696969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$146,976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696969" w:sz="7"/>
                    <w:right w:val="single" w:color="000000" w:sz="7"/>
                  </w:tcBorders>
                  <w:shd w:val="clear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-43.60%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2476" w:type="dxa"/>
                  <w:tcBorders>
                    <w:top w:val="single" w:color="696969" w:sz="7"/>
                    <w:left w:val="single" w:color="000000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Totals</w:t>
                  </w:r>
                </w:p>
              </w:tc>
              <w:tc>
                <w:tcPr>
                  <w:tcW w:w="1800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$2,238,961</w:t>
                  </w:r>
                </w:p>
              </w:tc>
              <w:tc>
                <w:tcPr>
                  <w:tcW w:w="2195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$827,394</w:t>
                  </w:r>
                </w:p>
              </w:tc>
              <w:tc>
                <w:tcPr>
                  <w:tcW w:w="1485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$0</w:t>
                  </w:r>
                </w:p>
              </w:tc>
              <w:tc>
                <w:tcPr>
                  <w:tcW w:w="1424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696969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$796,702</w:t>
                  </w:r>
                </w:p>
              </w:tc>
              <w:tc>
                <w:tcPr>
                  <w:tcW w:w="1100" w:type="dxa"/>
                  <w:tcBorders>
                    <w:top w:val="single" w:color="696969" w:sz="7"/>
                    <w:left w:val="single" w:color="696969" w:sz="7"/>
                    <w:bottom w:val="single" w:color="000000" w:sz="7"/>
                    <w:right w:val="single" w:color="000000" w:sz="7"/>
                  </w:tcBorders>
                  <w:shd w:val="clear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2240" w:h="15840"/>
      <w:pgMar w:top="720" w:right="720" w:bottom="720" w:left="720" w:header="0" w:footer="0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numbering" Target="/word/numbering.xml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F3_Print_2018</dc:title>
</cp:coreProperties>
</file>